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hint="default"/>
          <w:b/>
          <w:color w:val="000000"/>
          <w:spacing w:val="-20"/>
          <w:sz w:val="48"/>
          <w:szCs w:val="48"/>
          <w:u w:val="single"/>
          <w:lang w:val="en-US"/>
        </w:rPr>
      </w:pPr>
      <w:r>
        <w:rPr>
          <w:rFonts w:hint="eastAsia"/>
          <w:b/>
          <w:color w:val="000000"/>
          <w:spacing w:val="-20"/>
          <w:sz w:val="48"/>
          <w:szCs w:val="48"/>
        </w:rPr>
        <w:t>国家税务总局揭阳</w:t>
      </w:r>
      <w:r>
        <w:rPr>
          <w:rFonts w:hint="eastAsia"/>
          <w:b/>
          <w:color w:val="000000"/>
          <w:spacing w:val="-20"/>
          <w:sz w:val="48"/>
          <w:szCs w:val="48"/>
          <w:lang w:eastAsia="zh-CN"/>
        </w:rPr>
        <w:t>市税务局产业转移工业园税务分局</w:t>
      </w:r>
    </w:p>
    <w:p>
      <w:pPr>
        <w:jc w:val="center"/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</w:pPr>
      <w:r>
        <w:rPr>
          <w:rFonts w:hint="eastAsia" w:ascii="仿宋" w:hAnsi="仿宋" w:eastAsia="仿宋" w:cs="仿宋"/>
          <w:b/>
          <w:color w:val="000000"/>
          <w:spacing w:val="20"/>
          <w:sz w:val="44"/>
          <w:szCs w:val="44"/>
        </w:rPr>
        <w:t>税务事项通知书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  <w:r>
        <w:rPr>
          <w:rFonts w:hint="eastAsia" w:ascii="仿宋" w:hAnsi="仿宋" w:eastAsia="仿宋" w:cs="仿宋"/>
          <w:color w:val="000000"/>
          <w:spacing w:val="20"/>
          <w:sz w:val="32"/>
          <w:lang w:eastAsia="zh-CN"/>
        </w:rPr>
        <w:t>揭产业园税磐东税通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〔202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〕</w:t>
      </w:r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26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20"/>
          <w:sz w:val="32"/>
          <w:lang w:val="en-US" w:eastAsia="zh-CN"/>
        </w:rPr>
        <w:t>004</w:t>
      </w:r>
      <w:r>
        <w:rPr>
          <w:rFonts w:hint="eastAsia" w:ascii="仿宋" w:hAnsi="仿宋" w:eastAsia="仿宋" w:cs="仿宋"/>
          <w:color w:val="000000"/>
          <w:spacing w:val="20"/>
          <w:sz w:val="32"/>
        </w:rPr>
        <w:t>号</w:t>
      </w:r>
    </w:p>
    <w:p>
      <w:pPr>
        <w:spacing w:line="288" w:lineRule="auto"/>
        <w:jc w:val="center"/>
        <w:rPr>
          <w:rFonts w:hint="eastAsia" w:ascii="仿宋" w:hAnsi="仿宋" w:eastAsia="仿宋" w:cs="仿宋"/>
          <w:color w:val="000000"/>
          <w:spacing w:val="20"/>
          <w:sz w:val="32"/>
        </w:rPr>
      </w:pPr>
    </w:p>
    <w:p>
      <w:pPr>
        <w:spacing w:line="288" w:lineRule="auto"/>
        <w:jc w:val="left"/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</w:pPr>
      <w:r>
        <w:rPr>
          <w:rFonts w:hint="eastAsia" w:ascii="仿宋_GB2312" w:hAnsi="仿宋_GB2312" w:eastAsia="仿宋" w:cs="仿宋"/>
          <w:color w:val="000000"/>
          <w:spacing w:val="-20"/>
          <w:kern w:val="10"/>
          <w:sz w:val="32"/>
        </w:rPr>
        <w:t>揭阳市可达再生资源有限公司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：（纳税人识别号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  <w:lang w:eastAsia="zh-CN"/>
        </w:rPr>
        <w:t>：</w:t>
      </w:r>
      <w:r>
        <w:rPr>
          <w:rFonts w:hint="eastAsia" w:ascii="仿宋_GB2312" w:hAnsi="仿宋_GB2312" w:eastAsia="仿宋_GB2312" w:cs="仿宋"/>
          <w:color w:val="000000"/>
          <w:spacing w:val="-20"/>
          <w:kern w:val="10"/>
          <w:sz w:val="32"/>
        </w:rPr>
        <w:t>91445200MA4W9BBF5X</w:t>
      </w:r>
      <w:r>
        <w:rPr>
          <w:rFonts w:hint="eastAsia" w:ascii="仿宋" w:hAnsi="仿宋" w:eastAsia="仿宋" w:cs="仿宋"/>
          <w:color w:val="000000"/>
          <w:spacing w:val="-20"/>
          <w:kern w:val="10"/>
          <w:sz w:val="32"/>
        </w:rPr>
        <w:t>）</w:t>
      </w:r>
    </w:p>
    <w:p>
      <w:pPr>
        <w:spacing w:line="288" w:lineRule="auto"/>
        <w:ind w:firstLine="640" w:firstLineChars="20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事由：欠税风险提醒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依据：《中华人民共和国税收征收管理法》及《中华人民共和国税收征收管理法实施细则》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color w:val="000000"/>
          <w:sz w:val="32"/>
          <w:highlight w:val="none"/>
        </w:rPr>
      </w:pPr>
      <w:r>
        <w:rPr>
          <w:rFonts w:hint="eastAsia" w:ascii="仿宋" w:hAnsi="仿宋" w:eastAsia="仿宋" w:cs="仿宋"/>
          <w:color w:val="000000"/>
          <w:sz w:val="32"/>
          <w:highlight w:val="none"/>
        </w:rPr>
        <w:t>通知内容：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你（单位）20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月1日至20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月3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日的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应缴纳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税款（大写）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贰佰贰拾壹万捌仟肆佰壹拾叁元伍角壹分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（￥：2,218,413.51）元，我局已通过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《税务事项通知书》（揭产业园税磐东 税通 〔2019〕 152380 号、揭产业园税磐东 税通 〔2026〕 530 号）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eastAsia="zh-CN"/>
        </w:rPr>
        <w:t>等文书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  <w:lang w:val="en-US" w:eastAsia="zh-CN"/>
        </w:rPr>
        <w:t>限期缴纳，并从</w:t>
      </w:r>
      <w:r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  <w:t>税款滞纳之日起至缴纳或解缴之日止，按日加收滞纳税</w:t>
      </w:r>
      <w:r>
        <w:rPr>
          <w:rFonts w:hint="eastAsia" w:ascii="仿宋" w:hAnsi="仿宋" w:eastAsia="仿宋" w:cs="仿宋"/>
          <w:color w:val="000000"/>
          <w:sz w:val="32"/>
          <w:highlight w:val="none"/>
        </w:rPr>
        <w:t>款万分之五的滞纳金，与税款一并缴纳。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逾期不缴，税务机关将按《中华人民共和国税收征收管理法》有关规定处理。包括但不限于以下措施：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1.依法公告欠税情况；</w:t>
      </w:r>
    </w:p>
    <w:p>
      <w:pPr>
        <w:spacing w:line="288" w:lineRule="auto"/>
        <w:ind w:firstLine="640"/>
        <w:rPr>
          <w:rFonts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2.依法调整纳税信用；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3.依法阻止欠税企业法定代表人或欠税当事人出境；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4.依法采取从银行存款中扣缴税款，扣押、查封、依法拍卖或变卖商品货物及其他财产等强制措施；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5.申请人民法院行使代位权、撤销权等欠税追缴措施；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2"/>
        </w:rPr>
      </w:pPr>
      <w:r>
        <w:rPr>
          <w:rFonts w:hint="eastAsia" w:ascii="仿宋" w:hAnsi="仿宋" w:eastAsia="仿宋" w:cs="仿宋"/>
          <w:color w:val="000000"/>
          <w:sz w:val="32"/>
        </w:rPr>
        <w:t>6.构成犯罪的依法追究刑事责任等。</w:t>
      </w:r>
    </w:p>
    <w:p>
      <w:pPr>
        <w:ind w:firstLine="640" w:firstLineChars="200"/>
        <w:rPr>
          <w:rFonts w:hint="eastAsia" w:ascii="宋体" w:hAnsi="宋体" w:cs="宋体"/>
          <w:bCs/>
          <w:color w:val="000000"/>
          <w:kern w:val="0"/>
          <w:sz w:val="20"/>
        </w:rPr>
      </w:pPr>
      <w:r>
        <w:rPr>
          <w:rFonts w:hint="eastAsia" w:ascii="仿宋" w:hAnsi="仿宋" w:eastAsia="仿宋" w:cs="仿宋"/>
          <w:color w:val="000000"/>
          <w:sz w:val="32"/>
        </w:rPr>
        <w:t>同时，你单位应定期向主管税务机关报告生产经营、资金往来、债权债务、投资和欠税原因、《清缴欠税计划》等情况。报告间隔期为</w:t>
      </w:r>
      <w:r>
        <w:rPr>
          <w:rFonts w:hint="eastAsia" w:ascii="仿宋" w:hAnsi="仿宋" w:eastAsia="仿宋" w:cs="仿宋"/>
          <w:color w:val="000000"/>
          <w:sz w:val="32"/>
          <w:lang w:eastAsia="zh-CN"/>
        </w:rPr>
        <w:t>一</w:t>
      </w:r>
      <w:r>
        <w:rPr>
          <w:rFonts w:hint="eastAsia" w:ascii="仿宋" w:hAnsi="仿宋" w:eastAsia="仿宋" w:cs="仿宋"/>
          <w:color w:val="000000"/>
          <w:sz w:val="32"/>
        </w:rPr>
        <w:t>个月。若发生合并、分立、撤销、破产等情形的</w:t>
      </w:r>
      <w:r>
        <w:rPr>
          <w:rFonts w:hint="eastAsia" w:ascii="仿宋" w:hAnsi="仿宋" w:eastAsia="仿宋" w:cs="仿宋"/>
          <w:color w:val="000000"/>
          <w:sz w:val="32"/>
          <w:u w:val="none"/>
        </w:rPr>
        <w:t>或处分其不动产或者大额资产前，</w:t>
      </w:r>
      <w:r>
        <w:rPr>
          <w:rFonts w:hint="eastAsia" w:ascii="仿宋" w:hAnsi="仿宋" w:eastAsia="仿宋" w:cs="仿宋"/>
          <w:color w:val="000000"/>
          <w:sz w:val="32"/>
        </w:rPr>
        <w:t>应当及时报告。</w:t>
      </w:r>
    </w:p>
    <w:p>
      <w:pPr>
        <w:spacing w:line="288" w:lineRule="auto"/>
        <w:ind w:firstLine="640"/>
        <w:rPr>
          <w:rFonts w:hint="eastAsia" w:ascii="仿宋" w:hAnsi="仿宋" w:eastAsia="仿宋" w:cs="仿宋"/>
          <w:color w:val="000000"/>
          <w:sz w:val="31"/>
        </w:rPr>
      </w:pPr>
    </w:p>
    <w:p>
      <w:pPr>
        <w:pStyle w:val="7"/>
        <w:widowControl w:val="0"/>
        <w:spacing w:line="560" w:lineRule="exact"/>
        <w:ind w:firstLine="6355" w:firstLineChars="2050"/>
        <w:rPr>
          <w:rFonts w:ascii="仿宋" w:hAnsi="仿宋" w:eastAsia="仿宋" w:cs="仿宋"/>
          <w:color w:val="000000"/>
          <w:sz w:val="31"/>
          <w:szCs w:val="31"/>
        </w:rPr>
      </w:pPr>
      <w:r>
        <w:rPr>
          <w:rFonts w:hint="eastAsia" w:ascii="仿宋" w:hAnsi="仿宋" w:eastAsia="仿宋" w:cs="仿宋"/>
          <w:color w:val="000000"/>
          <w:sz w:val="31"/>
          <w:szCs w:val="31"/>
        </w:rPr>
        <w:t>税务机关（章）</w:t>
      </w:r>
    </w:p>
    <w:p>
      <w:pPr>
        <w:spacing w:line="288" w:lineRule="auto"/>
        <w:jc w:val="right"/>
        <w:rPr>
          <w:rFonts w:hint="eastAsia" w:ascii="仿宋" w:hAnsi="仿宋" w:eastAsia="仿宋" w:cs="仿宋"/>
          <w:color w:val="000000"/>
          <w:sz w:val="31"/>
        </w:rPr>
      </w:pPr>
      <w:r>
        <w:rPr>
          <w:rFonts w:hint="eastAsia" w:ascii="仿宋" w:hAnsi="仿宋" w:eastAsia="仿宋" w:cs="仿宋"/>
          <w:color w:val="000000"/>
          <w:sz w:val="31"/>
        </w:rPr>
        <w:t>202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1"/>
        </w:rPr>
        <w:t>年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1"/>
        </w:rPr>
        <w:t>月</w:t>
      </w:r>
      <w:r>
        <w:rPr>
          <w:rFonts w:hint="eastAsia" w:ascii="仿宋" w:hAnsi="仿宋" w:eastAsia="仿宋" w:cs="仿宋"/>
          <w:color w:val="000000"/>
          <w:sz w:val="31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sz w:val="31"/>
        </w:rPr>
        <w:t>日</w:t>
      </w: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</w:p>
    <w:p>
      <w:pPr>
        <w:jc w:val="left"/>
        <w:rPr>
          <w:rFonts w:hint="eastAsia"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【表单说明】 </w:t>
      </w:r>
    </w:p>
    <w:p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 w:val="20"/>
          <w:szCs w:val="20"/>
          <w:lang w:bidi="ar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bidi="ar"/>
        </w:rPr>
        <w:t>处分其不动产或者大额资产前报告适用于欠缴税款5万元以上的纳税人。</w:t>
      </w:r>
    </w:p>
    <w:p/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866E6"/>
    <w:rsid w:val="06AF204F"/>
    <w:rsid w:val="06C300C9"/>
    <w:rsid w:val="098A5B28"/>
    <w:rsid w:val="17350725"/>
    <w:rsid w:val="17792F9B"/>
    <w:rsid w:val="17F33E2E"/>
    <w:rsid w:val="19196474"/>
    <w:rsid w:val="250735CF"/>
    <w:rsid w:val="290D3D57"/>
    <w:rsid w:val="377E3E76"/>
    <w:rsid w:val="4128739E"/>
    <w:rsid w:val="44237184"/>
    <w:rsid w:val="46225591"/>
    <w:rsid w:val="46E6639F"/>
    <w:rsid w:val="47321975"/>
    <w:rsid w:val="4B3119C2"/>
    <w:rsid w:val="4FBF0E02"/>
    <w:rsid w:val="5B731E9A"/>
    <w:rsid w:val="5F475978"/>
    <w:rsid w:val="618866E6"/>
    <w:rsid w:val="62F03935"/>
    <w:rsid w:val="6559586D"/>
    <w:rsid w:val="659202E1"/>
    <w:rsid w:val="71562D5C"/>
    <w:rsid w:val="7B152126"/>
    <w:rsid w:val="7D754F49"/>
    <w:rsid w:val="7DBA4D88"/>
    <w:rsid w:val="7E8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5">
    <w:name w:val="标题1"/>
    <w:next w:val="1"/>
    <w:qFormat/>
    <w:uiPriority w:val="0"/>
    <w:pPr>
      <w:pageBreakBefore/>
      <w:widowControl w:val="0"/>
      <w:adjustRightInd w:val="0"/>
      <w:snapToGrid w:val="0"/>
      <w:spacing w:line="288" w:lineRule="auto"/>
      <w:outlineLvl w:val="0"/>
    </w:pPr>
    <w:rPr>
      <w:rFonts w:hint="eastAsia" w:ascii="Times New Roman" w:hAnsi="Times New Roman" w:eastAsia="黑体" w:cs="Times New Roman"/>
      <w:b/>
      <w:sz w:val="32"/>
      <w:lang w:val="en-US" w:eastAsia="zh-CN" w:bidi="ar-SA"/>
    </w:rPr>
  </w:style>
  <w:style w:type="paragraph" w:customStyle="1" w:styleId="6">
    <w:name w:val="文书标题"/>
    <w:qFormat/>
    <w:uiPriority w:val="0"/>
    <w:pPr>
      <w:jc w:val="center"/>
    </w:pPr>
    <w:rPr>
      <w:rFonts w:ascii="Calibri" w:hAnsi="Calibri" w:eastAsia="宋体" w:cs="Times New Roman"/>
      <w:b/>
      <w:color w:val="000000"/>
      <w:spacing w:val="20"/>
      <w:sz w:val="44"/>
      <w:szCs w:val="44"/>
      <w:lang w:val="en-US" w:eastAsia="zh-CN" w:bidi="ar-SA"/>
    </w:rPr>
  </w:style>
  <w:style w:type="paragraph" w:customStyle="1" w:styleId="7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2025-12-10T10:30:00Z</dcterms:created>
  <dc:creator>Administrator</dc:creator>
  <cp:lastModifiedBy>孙建</cp:lastModifiedBy>
  <cp:lastPrinted>2026-01-30T08:17:19Z</cp:lastPrinted>
  <dcterms:modified xsi:type="dcterms:W3CDTF">2026-01-30T08:17:35Z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